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2022年度国元物业国有资产保值增值情况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经统计，2022年国元物业国有资产资本保值增值率为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107.12%。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安徽国元物业管理有限责任公司</w:t>
      </w:r>
    </w:p>
    <w:p>
      <w:pPr>
        <w:spacing w:line="560" w:lineRule="exact"/>
        <w:ind w:firstLine="640" w:firstLineChars="200"/>
        <w:jc w:val="center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2023年12月26日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mQwNzNjMWI4ZTA1OTUyMzI4OWRjNjRjZjExYmEifQ=="/>
  </w:docVars>
  <w:rsids>
    <w:rsidRoot w:val="5D977CE3"/>
    <w:rsid w:val="17B4662A"/>
    <w:rsid w:val="5D977CE3"/>
    <w:rsid w:val="7CD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2023-12-26T08:45:00Z</dcterms:created>
  <dc:creator>企业用户_404915933</dc:creator>
  <cp:lastModifiedBy>杜佳欣</cp:lastModifiedBy>
  <dcterms:modified xsi:type="dcterms:W3CDTF">2024-01-04T06:46:54Z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32349788EE354EF3989B01C71976CA49_13</vt:lpwstr>
  </property>
</Properties>
</file>